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7F" w:rsidRDefault="00BB317F" w:rsidP="00BB317F">
      <w:bookmarkStart w:id="0" w:name="_GoBack"/>
      <w:bookmarkEnd w:id="0"/>
      <w:r>
        <w:t>193 Maren Sørensdatter skifte 1853</w:t>
      </w:r>
    </w:p>
    <w:p w:rsidR="00BB317F" w:rsidRDefault="00BB317F" w:rsidP="00BB317F"/>
    <w:p w:rsidR="00BB317F" w:rsidRDefault="00BB317F" w:rsidP="00BB317F">
      <w:r>
        <w:t>Skifteprotokol Langeland Herred 1852-1856 pag 269</w:t>
      </w:r>
      <w:r w:rsidR="00746445">
        <w:t>-270</w:t>
      </w:r>
      <w:r>
        <w:t>+280-</w:t>
      </w:r>
      <w:r w:rsidR="00746445">
        <w:t>281</w:t>
      </w:r>
      <w:r>
        <w:t xml:space="preserve"> AO billede </w:t>
      </w:r>
      <w:r w:rsidR="00746445">
        <w:t>212+</w:t>
      </w:r>
      <w:r>
        <w:t>223</w:t>
      </w:r>
      <w:r w:rsidR="00746445">
        <w:t>-224</w:t>
      </w:r>
    </w:p>
    <w:p w:rsidR="00BB317F" w:rsidRDefault="00BB317F" w:rsidP="00BB317F"/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Maren Sørensen, Tømmermand Niels Larsen Olsen f. S. Longelse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Anno 1853 den 25 Decbr blev af Huusmand og Tømmermand Niels Larsen Olsen af S. Longelse anmeldt, at hans Kone Maren Sørensen i dag er død, efterladende sig følgende Arvinger, ...: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A. avlet udenfor Ægteskab: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 en Søn Hans Nielsen, omtrent 24 Aar gl.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-   do  Anthon Hansen, omtrent 18 Aar gl.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-  Datter Hanne Hansdatter, omtr. 21 Aar gl. ugift.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B. af Ægteskab med Enkemanden: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 en Søn Christen Olsen Nielsen, 15 Aar gl.</w:t>
      </w:r>
    </w:p>
    <w:p w:rsidR="00974AA3" w:rsidRP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 w:rsidRPr="00974AA3">
        <w:rPr>
          <w:rFonts w:cs="Times New Roman"/>
          <w:szCs w:val="20"/>
          <w:lang w:val="en-US"/>
        </w:rPr>
        <w:t>2. - Do Theodor Nielsen, 8 Aar gl.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- Datter Hansine Christine Nielsen, omtr. 11 Aar gl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Enkemanden eier et jordløst Huus, hvori han skylder 150 Rbd.- Han vilde nærmere meddele om han agtede at indgaa med Ansøgning om at hensidde i uskiftet Bo med de myndige Børns Samtykke. 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Denne Anmeldelse blev med Underskrift bekræftet.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Sager </w:t>
      </w:r>
      <w:r>
        <w:rPr>
          <w:rFonts w:cs="Times New Roman"/>
          <w:szCs w:val="20"/>
        </w:rPr>
        <w:tab/>
        <w:t>Niels Larsen Olsen</w:t>
      </w:r>
    </w:p>
    <w:p w:rsidR="00974AA3" w:rsidRDefault="00974AA3" w:rsidP="00974AA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m.p.P.</w:t>
      </w:r>
    </w:p>
    <w:p w:rsidR="00974AA3" w:rsidRDefault="00974AA3" w:rsidP="00BB317F"/>
    <w:p w:rsidR="002E0168" w:rsidRDefault="002E0168" w:rsidP="00BB317F"/>
    <w:p w:rsidR="002E0168" w:rsidRDefault="002E0168" w:rsidP="002E016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Anno 1854 den 14 Januar blev paa Herredscontoiret foretaget Skiftet efter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 under 25. f. M. afdøde Maren Sørensen, Huusmand og Tømmermand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Niels Larsen Olsens hustru af Sønder</w:t>
      </w:r>
      <w:r w:rsidR="0076336D">
        <w:rPr>
          <w:rFonts w:cs="Times New Roman"/>
          <w:szCs w:val="20"/>
        </w:rPr>
        <w:t xml:space="preserve"> Longelse til Deling imellem En</w:t>
      </w:r>
      <w:r>
        <w:rPr>
          <w:rFonts w:cs="Times New Roman"/>
          <w:szCs w:val="20"/>
        </w:rPr>
        <w:t>kemanden og den Afdødes Arvinger. - Som Vidner var tilstæde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Hansen? og Hansen</w:t>
      </w:r>
      <w:r w:rsidR="0076336D">
        <w:rPr>
          <w:rFonts w:cs="Times New Roman"/>
          <w:szCs w:val="20"/>
        </w:rPr>
        <w:t>.</w:t>
      </w:r>
    </w:p>
    <w:p w:rsidR="0076336D" w:rsidRDefault="0076336D" w:rsidP="002E016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6336D" w:rsidRDefault="002E0168" w:rsidP="002E016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N.L. Olsen er mødt og l</w:t>
      </w:r>
      <w:r w:rsidR="0076336D">
        <w:rPr>
          <w:rFonts w:cs="Times New Roman"/>
          <w:szCs w:val="20"/>
        </w:rPr>
        <w:t>i</w:t>
      </w:r>
      <w:r>
        <w:rPr>
          <w:rFonts w:cs="Times New Roman"/>
          <w:szCs w:val="20"/>
        </w:rPr>
        <w:t>gesom ved Dødsfaldet angav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 afdødes Arvinger at være 1. en Søn Hans Nielsen Pedersen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26½ aar gl. af Torpe, der var tilstæde, 2. en Do Anthon Hansen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19 aar gl. som ligeledes var mødt med Curator .... Jørgen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Hansen af Østerby. 3. en Datter Hanne Marie Hansdatter, ugift. DisseArvinger var avlede udenfor Ægteskab. </w:t>
      </w:r>
    </w:p>
    <w:p w:rsidR="002E0168" w:rsidRDefault="002E0168" w:rsidP="002E016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Af Ægteskabet med Enkemanden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er følgende Børn: 4. en Søn Christen Olsen Ni</w:t>
      </w:r>
      <w:r w:rsidR="0076336D">
        <w:rPr>
          <w:rFonts w:cs="Times New Roman"/>
          <w:szCs w:val="20"/>
        </w:rPr>
        <w:t>elsen, 15 Aar gl. 5. en do Theo</w:t>
      </w:r>
      <w:r>
        <w:rPr>
          <w:rFonts w:cs="Times New Roman"/>
          <w:szCs w:val="20"/>
        </w:rPr>
        <w:t>dor Nielsen, 8 Aar gl. og 6. en Datter Hansine Christine Nielsen 11 Aar gl.- For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disse Umyndige mødte som Tilsynsværge Væver Jørgen Hansen af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Østerby, der er gift med Afdødes M</w:t>
      </w:r>
      <w:r w:rsidR="0076336D">
        <w:rPr>
          <w:rFonts w:cs="Times New Roman"/>
          <w:szCs w:val="20"/>
        </w:rPr>
        <w:t>oder. - andre eller flere Arvin</w:t>
      </w:r>
      <w:r>
        <w:rPr>
          <w:rFonts w:cs="Times New Roman"/>
          <w:szCs w:val="20"/>
        </w:rPr>
        <w:t>ger har Afdøde ikke efterladt sig.</w:t>
      </w:r>
    </w:p>
    <w:p w:rsidR="0076336D" w:rsidRDefault="0076336D" w:rsidP="002E016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6336D" w:rsidRDefault="002E0168" w:rsidP="002E016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angav derpaa efter Samvittighed og bedste Skjønnende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det ham tilhørende jordløse Huu</w:t>
      </w:r>
      <w:r w:rsidR="0076336D">
        <w:rPr>
          <w:rFonts w:cs="Times New Roman"/>
          <w:szCs w:val="20"/>
        </w:rPr>
        <w:t>s, hvorpaa han endu ikke har er</w:t>
      </w:r>
      <w:r>
        <w:rPr>
          <w:rFonts w:cs="Times New Roman"/>
          <w:szCs w:val="20"/>
        </w:rPr>
        <w:t>holdt Skjøde, ikke kunde ansætte til høiere Værdi end 220 Rbd. og hans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Ind- og Udbo til 68 Rbd, tilsammen er 228 Rbd. </w:t>
      </w:r>
      <w:r w:rsidR="0076336D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76336D" w:rsidRDefault="0076336D" w:rsidP="002E016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2E0168" w:rsidRDefault="002E0168" w:rsidP="002E016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Derimod anmeldte han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at være bortskyldig efter Revers 150 </w:t>
      </w:r>
      <w:r w:rsidR="0076336D">
        <w:rPr>
          <w:rFonts w:cs="Times New Roman"/>
          <w:szCs w:val="20"/>
        </w:rPr>
        <w:t>Rbd, Løs Gjeld 15 Rbd og for Be</w:t>
      </w:r>
      <w:r>
        <w:rPr>
          <w:rFonts w:cs="Times New Roman"/>
          <w:szCs w:val="20"/>
        </w:rPr>
        <w:t>gravelsen 28 Rbd, tilsammen 193 Rbd. Den tilstædeværende Værge, som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paa Grund af Familieforholdet var ...</w:t>
      </w:r>
      <w:r w:rsidR="0076336D">
        <w:rPr>
          <w:rFonts w:cs="Times New Roman"/>
          <w:szCs w:val="20"/>
        </w:rPr>
        <w:t>.. bekjendt med dette Bo, erklæ</w:t>
      </w:r>
      <w:r>
        <w:rPr>
          <w:rFonts w:cs="Times New Roman"/>
          <w:szCs w:val="20"/>
        </w:rPr>
        <w:t>rede, saavelsom de tilstædeværende myndige Arvinger at de Intet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havde imod den paa Huus og Bo satte Værdi at erindre, ligesom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 eiheller havde noget imod den opførte Gjæld at anføre?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da samme var dem vitterligt.</w:t>
      </w:r>
    </w:p>
    <w:p w:rsidR="0076336D" w:rsidRDefault="0076336D" w:rsidP="002E016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2E0168" w:rsidRDefault="002E0168" w:rsidP="002E016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Sluttelig erklærede Enkem</w:t>
      </w:r>
      <w:r w:rsidR="0076336D">
        <w:rPr>
          <w:rFonts w:cs="Times New Roman"/>
          <w:szCs w:val="20"/>
        </w:rPr>
        <w:t>anden at han vilde tilsvare saa</w:t>
      </w:r>
      <w:r>
        <w:rPr>
          <w:rFonts w:cs="Times New Roman"/>
          <w:szCs w:val="20"/>
        </w:rPr>
        <w:t>vel den anmeldte, hans ansvar anden .......sig Gjeld, der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muligen maate fremkomme yderligere paa Boet, uden Ansvar for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Skifteretten i nogen Henseende, da han ikke ønsker eller fordrer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nogen Indkaldelse til Creditorer foranstaltet, hvornæst han var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begjærende Boet opgjort.</w:t>
      </w:r>
    </w:p>
    <w:p w:rsidR="0076336D" w:rsidRDefault="0076336D" w:rsidP="002E016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A28A6" w:rsidRDefault="001A28A6" w:rsidP="001A28A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Grund af den af d</w:t>
      </w:r>
      <w:r w:rsidR="0076336D">
        <w:rPr>
          <w:rFonts w:cs="Times New Roman"/>
          <w:szCs w:val="20"/>
        </w:rPr>
        <w:t>e myndige Arvinger og Værgen af</w:t>
      </w:r>
      <w:r>
        <w:rPr>
          <w:rFonts w:cs="Times New Roman"/>
          <w:szCs w:val="20"/>
        </w:rPr>
        <w:t>givne Erklæring, fandt Skifteforvalteren ingen Anledning til at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drage Enkemandens Opgivende i Tvivl, hvorefter da Boet blev</w:t>
      </w:r>
      <w:r w:rsidR="0076336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opgjort saaledes:</w:t>
      </w:r>
    </w:p>
    <w:p w:rsidR="0076336D" w:rsidRDefault="0076336D" w:rsidP="001A28A6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Style w:val="Tabel-Gitt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550"/>
        <w:gridCol w:w="494"/>
        <w:gridCol w:w="428"/>
        <w:gridCol w:w="550"/>
        <w:gridCol w:w="494"/>
        <w:gridCol w:w="602"/>
        <w:gridCol w:w="550"/>
        <w:gridCol w:w="494"/>
        <w:gridCol w:w="428"/>
        <w:gridCol w:w="550"/>
        <w:gridCol w:w="551"/>
        <w:gridCol w:w="428"/>
      </w:tblGrid>
      <w:tr w:rsidR="00BA5686" w:rsidTr="00BA5686">
        <w:tc>
          <w:tcPr>
            <w:tcW w:w="3523" w:type="dxa"/>
          </w:tcPr>
          <w:p w:rsidR="0076336D" w:rsidRPr="00BA5686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BA5686">
              <w:rPr>
                <w:rFonts w:cs="Times New Roman"/>
                <w:b/>
                <w:szCs w:val="20"/>
              </w:rPr>
              <w:t>A. Indtægt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Rbd</w:t>
            </w: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Mk</w:t>
            </w: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</w:t>
            </w:r>
          </w:p>
        </w:tc>
      </w:tr>
      <w:tr w:rsidR="00BA5686" w:rsidTr="00BA5686">
        <w:tc>
          <w:tcPr>
            <w:tcW w:w="3523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 Værdier paa Huuset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220</w:t>
            </w: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Do paa Indboet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68</w:t>
            </w: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Summa Indtægt er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228</w:t>
            </w: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76336D" w:rsidRPr="00BA5686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BA5686">
              <w:rPr>
                <w:rFonts w:cs="Times New Roman"/>
                <w:b/>
                <w:szCs w:val="20"/>
              </w:rPr>
              <w:t>B. Udgift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BA5686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Rbd</w:t>
            </w:r>
          </w:p>
        </w:tc>
        <w:tc>
          <w:tcPr>
            <w:tcW w:w="494" w:type="dxa"/>
          </w:tcPr>
          <w:p w:rsidR="0076336D" w:rsidRDefault="00BA5686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Mk</w:t>
            </w:r>
          </w:p>
        </w:tc>
        <w:tc>
          <w:tcPr>
            <w:tcW w:w="428" w:type="dxa"/>
          </w:tcPr>
          <w:p w:rsidR="0076336D" w:rsidRDefault="00BA5686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 den anmeldte Gjæld efter Revers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150</w:t>
            </w: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løs Gjæld til Forskjellige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15</w:t>
            </w: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3. For Begravelsen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28</w:t>
            </w: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4. Skifteomkostningerne, ....</w:t>
            </w:r>
          </w:p>
        </w:tc>
        <w:tc>
          <w:tcPr>
            <w:tcW w:w="550" w:type="dxa"/>
          </w:tcPr>
          <w:p w:rsidR="0076336D" w:rsidRDefault="00BA5686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Rbd</w:t>
            </w:r>
          </w:p>
        </w:tc>
        <w:tc>
          <w:tcPr>
            <w:tcW w:w="494" w:type="dxa"/>
          </w:tcPr>
          <w:p w:rsidR="0076336D" w:rsidRDefault="00BA5686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Mk</w:t>
            </w:r>
          </w:p>
        </w:tc>
        <w:tc>
          <w:tcPr>
            <w:tcW w:w="428" w:type="dxa"/>
          </w:tcPr>
          <w:p w:rsidR="0076336D" w:rsidRDefault="00BA5686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a. Salair til Skifteforvalter</w:t>
            </w: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76336D" w:rsidRDefault="0076336D" w:rsidP="001A28A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b. Actens Beskr.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Rbd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Mk</w:t>
            </w: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c. Bekræftelsen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 Justitsfonden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</w:t>
            </w:r>
            <w:r w:rsidRPr="00BA5686">
              <w:rPr>
                <w:rFonts w:cs="Times New Roman"/>
                <w:szCs w:val="20"/>
                <w:vertAlign w:val="superscript"/>
              </w:rPr>
              <w:t>3</w:t>
            </w:r>
            <w:r>
              <w:rPr>
                <w:rFonts w:cs="Times New Roman"/>
                <w:szCs w:val="20"/>
              </w:rPr>
              <w:t>/</w:t>
            </w:r>
            <w:r w:rsidRPr="00BA5686">
              <w:rPr>
                <w:rFonts w:cs="Times New Roman"/>
                <w:szCs w:val="20"/>
                <w:vertAlign w:val="subscript"/>
              </w:rPr>
              <w:t>5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 Revisionskontoret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f. 20% .... til Kongens Kasse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  <w:vertAlign w:val="superscript"/>
              </w:rPr>
              <w:t>1</w:t>
            </w:r>
            <w:r>
              <w:rPr>
                <w:rFonts w:cs="Times New Roman"/>
                <w:szCs w:val="20"/>
              </w:rPr>
              <w:t>/</w:t>
            </w:r>
            <w:r w:rsidRPr="00BA5686">
              <w:rPr>
                <w:rFonts w:cs="Times New Roman"/>
                <w:szCs w:val="20"/>
                <w:vertAlign w:val="subscript"/>
              </w:rPr>
              <w:t>5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g. Stemp Papir til Skiftebrevet 1 stk a .....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  Slet do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  Mændene mm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Summa udgift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</w:t>
            </w: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 Behold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86</w:t>
            </w: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</w:tr>
      <w:tr w:rsidR="00BA5686" w:rsidTr="00BA5686">
        <w:tc>
          <w:tcPr>
            <w:tcW w:w="3523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2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Heraf tager Enkemanden det ham tilstaaende halve Bo med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</w:t>
            </w: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og det andet halve Bo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</w:t>
            </w: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deles saaledes: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 Enkemanden den hans efter Fr.21 Mai1848 §15 tilkommende Broderlod med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Sønnen Hans Nielsen Pedersen, myndig, ligel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3. - Anthon Hansen, ligel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4. - Christen O. Nielsen, umyndig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 - Theodor Nielsen, ligel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6. Datteren Hanne Marie Hansdr., ligel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7. - Hansine Christine Nielsen, ligel.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BA5686" w:rsidTr="00BA5686">
        <w:tc>
          <w:tcPr>
            <w:tcW w:w="6641" w:type="dxa"/>
            <w:gridSpan w:val="7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der udgiør? ovenstaaende</w:t>
            </w: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94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50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</w:t>
            </w:r>
          </w:p>
        </w:tc>
        <w:tc>
          <w:tcPr>
            <w:tcW w:w="551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8" w:type="dxa"/>
          </w:tcPr>
          <w:p w:rsidR="00BA5686" w:rsidRDefault="00BA5686" w:rsidP="00BA568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</w:tr>
    </w:tbl>
    <w:p w:rsidR="001A28A6" w:rsidRDefault="001A28A6" w:rsidP="001A28A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BA5686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Bemeldte Arv completterede Enkemanden af faderlig godhed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 hans af Børnene til fulde 8 Rbd, og forpligtede han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sig herved til uden videre forudgaaenden Op....gelse til 11 Decbr.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Termin 1854 at udbetale samtlige Arve til Tilsynsværgen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forsaavidt de Umyndige betræffer, og til de myndige Arvinger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som hermed erklærede sig tilfredse, til disse .... </w:t>
      </w:r>
      <w:r w:rsidR="00BA5686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BA5686" w:rsidRDefault="00BA5686" w:rsidP="00E7132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BA5686" w:rsidRDefault="00BA5686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Sik</w:t>
      </w:r>
      <w:r w:rsidR="00E71323">
        <w:rPr>
          <w:rFonts w:cs="Times New Roman"/>
          <w:szCs w:val="20"/>
        </w:rPr>
        <w:t>kerhed for disse Arve og Gaver blev gi</w:t>
      </w:r>
      <w:r>
        <w:rPr>
          <w:rFonts w:cs="Times New Roman"/>
          <w:szCs w:val="20"/>
        </w:rPr>
        <w:t>vet ..... de Vedkommende imidler</w:t>
      </w:r>
      <w:r w:rsidR="00E71323">
        <w:rPr>
          <w:rFonts w:cs="Times New Roman"/>
          <w:szCs w:val="20"/>
        </w:rPr>
        <w:t>tid Udlæg og Sikkerhed i samtlige</w:t>
      </w:r>
      <w:r>
        <w:rPr>
          <w:rFonts w:cs="Times New Roman"/>
          <w:szCs w:val="20"/>
        </w:rPr>
        <w:t xml:space="preserve"> </w:t>
      </w:r>
      <w:r w:rsidR="00E71323">
        <w:rPr>
          <w:rFonts w:cs="Times New Roman"/>
          <w:szCs w:val="20"/>
        </w:rPr>
        <w:t>Enkemandens saavel faste som</w:t>
      </w:r>
      <w:r>
        <w:rPr>
          <w:rFonts w:cs="Times New Roman"/>
          <w:szCs w:val="20"/>
        </w:rPr>
        <w:t xml:space="preserve"> </w:t>
      </w:r>
      <w:r w:rsidR="00E71323">
        <w:rPr>
          <w:rFonts w:cs="Times New Roman"/>
          <w:szCs w:val="20"/>
        </w:rPr>
        <w:t>løse Eiendom og Dele af Ind- og Udbo, saaledes som dette nu</w:t>
      </w:r>
      <w:r>
        <w:rPr>
          <w:rFonts w:cs="Times New Roman"/>
          <w:szCs w:val="20"/>
        </w:rPr>
        <w:t xml:space="preserve"> </w:t>
      </w:r>
      <w:r w:rsidR="00E71323">
        <w:rPr>
          <w:rFonts w:cs="Times New Roman"/>
          <w:szCs w:val="20"/>
        </w:rPr>
        <w:t>er eller herefter maatte vorde forbedret, næstefter den for Tiden</w:t>
      </w:r>
      <w:r>
        <w:rPr>
          <w:rFonts w:cs="Times New Roman"/>
          <w:szCs w:val="20"/>
        </w:rPr>
        <w:t xml:space="preserve"> </w:t>
      </w:r>
      <w:r w:rsidR="00E71323">
        <w:rPr>
          <w:rFonts w:cs="Times New Roman"/>
          <w:szCs w:val="20"/>
        </w:rPr>
        <w:t xml:space="preserve">hvilende Gjæld. </w:t>
      </w:r>
      <w:r>
        <w:rPr>
          <w:rFonts w:cs="Times New Roman"/>
          <w:szCs w:val="20"/>
        </w:rPr>
        <w:t>–</w:t>
      </w:r>
      <w:r w:rsidR="00E71323">
        <w:rPr>
          <w:rFonts w:cs="Times New Roman"/>
          <w:szCs w:val="20"/>
        </w:rPr>
        <w:t xml:space="preserve"> </w:t>
      </w:r>
    </w:p>
    <w:p w:rsidR="00BA5686" w:rsidRDefault="00BA5686" w:rsidP="00E7132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Forsaavidt de Umyndiges Arv og Gave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angaaer blev Tilsynsværgen bemyndiget til at anvende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samme til Børnenes .....Gaver og Bedste, saaledes som han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....ster sig til at forsvare for alle Vedkommende, eftersom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Børnene ingen forudgaae</w:t>
      </w:r>
      <w:r w:rsidR="00BA5686">
        <w:rPr>
          <w:rFonts w:cs="Times New Roman"/>
          <w:szCs w:val="20"/>
        </w:rPr>
        <w:t>nde Arv have under Overformynde</w:t>
      </w:r>
      <w:r>
        <w:rPr>
          <w:rFonts w:cs="Times New Roman"/>
          <w:szCs w:val="20"/>
        </w:rPr>
        <w:t>riet. For Renters Svarelse er Enkemanden fritaget imod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forsyne hans umyndige Børn med passende Underholdning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en christelig Opdragelse.</w:t>
      </w:r>
    </w:p>
    <w:p w:rsidR="00BA5686" w:rsidRDefault="00BA5686" w:rsidP="00E7132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Skifteomkostningerne forband Enkemanden sig under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......deret Tvang? inden 1. Marty d.a. hertil at indbetale.</w:t>
      </w:r>
    </w:p>
    <w:p w:rsidR="00BA5686" w:rsidRDefault="00BA5686" w:rsidP="00E7132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Ingen havde videre for eller imod dette Skifte at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anføre blev Samme herved sluttet og det Passerede med</w:t>
      </w:r>
      <w:r w:rsidR="00BA56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alle Vedkommendes Underskrift bekræftet</w:t>
      </w: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</w:t>
      </w:r>
      <w:r>
        <w:rPr>
          <w:rFonts w:cs="Times New Roman"/>
          <w:szCs w:val="20"/>
        </w:rPr>
        <w:tab/>
        <w:t>Niels Larsen Olsen</w:t>
      </w: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Jørgen Hansen</w:t>
      </w:r>
      <w:r>
        <w:rPr>
          <w:rFonts w:cs="Times New Roman"/>
          <w:szCs w:val="20"/>
        </w:rPr>
        <w:tab/>
        <w:t>Hans Nielsen Pedersen</w:t>
      </w: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m.p.P</w:t>
      </w: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Anthon Hansen</w:t>
      </w: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Som Vidner</w:t>
      </w:r>
    </w:p>
    <w:p w:rsidR="00E71323" w:rsidRDefault="00E71323" w:rsidP="00E7132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Hansen     Hag....</w:t>
      </w:r>
    </w:p>
    <w:p w:rsidR="001A28A6" w:rsidRDefault="001A28A6" w:rsidP="001A28A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A28A6" w:rsidRDefault="001A28A6" w:rsidP="002E016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2E0168" w:rsidRDefault="002E0168" w:rsidP="002E016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293AA8" w:rsidRDefault="00293AA8" w:rsidP="00BB317F"/>
    <w:sectPr w:rsidR="00293AA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7C" w:rsidRDefault="00F63D7C" w:rsidP="00F25471">
      <w:r>
        <w:separator/>
      </w:r>
    </w:p>
  </w:endnote>
  <w:endnote w:type="continuationSeparator" w:id="0">
    <w:p w:rsidR="00F63D7C" w:rsidRDefault="00F63D7C" w:rsidP="00F2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142828"/>
      <w:docPartObj>
        <w:docPartGallery w:val="Page Numbers (Bottom of Page)"/>
        <w:docPartUnique/>
      </w:docPartObj>
    </w:sdtPr>
    <w:sdtContent>
      <w:p w:rsidR="00F25471" w:rsidRDefault="00F2547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5471" w:rsidRDefault="00F254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7C" w:rsidRDefault="00F63D7C" w:rsidP="00F25471">
      <w:r>
        <w:separator/>
      </w:r>
    </w:p>
  </w:footnote>
  <w:footnote w:type="continuationSeparator" w:id="0">
    <w:p w:rsidR="00F63D7C" w:rsidRDefault="00F63D7C" w:rsidP="00F2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F"/>
    <w:rsid w:val="001A28A6"/>
    <w:rsid w:val="00213781"/>
    <w:rsid w:val="00293AA8"/>
    <w:rsid w:val="002E0168"/>
    <w:rsid w:val="0034724F"/>
    <w:rsid w:val="00393DA6"/>
    <w:rsid w:val="00567B70"/>
    <w:rsid w:val="00746445"/>
    <w:rsid w:val="0076336D"/>
    <w:rsid w:val="00856C0E"/>
    <w:rsid w:val="00974AA3"/>
    <w:rsid w:val="00BA5686"/>
    <w:rsid w:val="00BB317F"/>
    <w:rsid w:val="00E71323"/>
    <w:rsid w:val="00F25471"/>
    <w:rsid w:val="00F35714"/>
    <w:rsid w:val="00F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C7A2-1C28-4AE7-8833-4EDB95C3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46445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76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254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5471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F254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547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828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9</cp:revision>
  <dcterms:created xsi:type="dcterms:W3CDTF">2015-05-12T16:46:00Z</dcterms:created>
  <dcterms:modified xsi:type="dcterms:W3CDTF">2015-05-14T08:23:00Z</dcterms:modified>
</cp:coreProperties>
</file>