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D37052">
      <w:r>
        <w:t>6626 Karen Christophersdatter skifte 1813</w:t>
      </w:r>
    </w:p>
    <w:p w:rsidR="00D37052" w:rsidRDefault="00D37052"/>
    <w:p w:rsidR="00D37052" w:rsidRDefault="00D37052">
      <w:r>
        <w:t>Skifteprotokol Nedergårds Gods 1765-1815 s 805-</w:t>
      </w:r>
      <w:r w:rsidR="001C17C4">
        <w:t>806</w:t>
      </w:r>
      <w:bookmarkStart w:id="0" w:name="_GoBack"/>
      <w:bookmarkEnd w:id="0"/>
      <w:r>
        <w:t>. FS billede 421-422</w:t>
      </w:r>
    </w:p>
    <w:p w:rsidR="00D37052" w:rsidRDefault="00D37052"/>
    <w:p w:rsidR="00D37052" w:rsidRDefault="00D37052" w:rsidP="00D3705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Mo 133</w:t>
      </w:r>
    </w:p>
    <w:p w:rsidR="00D37052" w:rsidRDefault="00D37052" w:rsidP="00D3705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Skifte-Forrettning efter Chris</w:t>
      </w:r>
      <w:r w:rsidR="008354C9">
        <w:rPr>
          <w:rFonts w:cs="Times New Roman"/>
          <w:szCs w:val="20"/>
        </w:rPr>
        <w:t>topher Rasmussen Tømmer og Huus</w:t>
      </w:r>
      <w:r>
        <w:rPr>
          <w:rFonts w:cs="Times New Roman"/>
          <w:szCs w:val="20"/>
        </w:rPr>
        <w:t>mands afdøde Sl. Huustrue Karen ChristophersDatter i Emmerbølle</w:t>
      </w:r>
    </w:p>
    <w:p w:rsidR="008354C9" w:rsidRDefault="008354C9" w:rsidP="00D3705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D37052" w:rsidP="00D3705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1813 den 30te April blev effter begiering af Huusmand Christopher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Rasmussen Tømmermand i Emmerbølle; Skifte foretaget effter ha</w:t>
      </w:r>
      <w:r w:rsidR="008354C9">
        <w:rPr>
          <w:rFonts w:cs="Times New Roman"/>
          <w:szCs w:val="20"/>
        </w:rPr>
        <w:t>n</w:t>
      </w:r>
      <w:r>
        <w:rPr>
          <w:rFonts w:cs="Times New Roman"/>
          <w:szCs w:val="20"/>
        </w:rPr>
        <w:t>s for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omtrent 2 aar siden afdøde Huustrue Karen ChristophersDatter, til Skifte og Deeling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imellem Enkemanden og hans i Ægteskab med den sl. afdøde avlede Datter 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navnlig Kirsten ChristophersDatter 3 aar gamme, af undertegnede Needergaards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Forvalter paa den Høye Skiffteforvalter Hans Høy Grevelig Excellence Hr. Greve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Danneschiold Samsøe paa Stamherren til Needergaard Hr. Kammerjunker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Henrich Eichsted v. Kaas hans vegne, som allernaadigste Beskikket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værge. </w:t>
      </w:r>
      <w:r w:rsidR="008354C9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8354C9" w:rsidRDefault="008354C9" w:rsidP="00D3705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37052" w:rsidRDefault="00D37052" w:rsidP="00D3705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Ved denne Skiffteforrettning var nærværende Enkemanden fornævnte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Christopher Rasmussen paa egne og sin umyndige Datters vegne.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Ved Forrettningen var af Skiff</w:t>
      </w:r>
      <w:r w:rsidR="008354C9">
        <w:rPr>
          <w:rFonts w:cs="Times New Roman"/>
          <w:szCs w:val="20"/>
        </w:rPr>
        <w:t>teforvalteren antage som Vitter</w:t>
      </w:r>
      <w:r>
        <w:rPr>
          <w:rFonts w:cs="Times New Roman"/>
          <w:szCs w:val="20"/>
        </w:rPr>
        <w:t>ligheds Viidner og Vurderingsmænd, den Kongel. Sognefoged Niels Nielsen i Leybølle</w:t>
      </w:r>
      <w:r w:rsidR="008354C9">
        <w:rPr>
          <w:rFonts w:cs="Times New Roman"/>
          <w:szCs w:val="20"/>
        </w:rPr>
        <w:t xml:space="preserve"> og Niels …mel</w:t>
      </w:r>
      <w:r>
        <w:rPr>
          <w:rFonts w:cs="Times New Roman"/>
          <w:szCs w:val="20"/>
        </w:rPr>
        <w:t>sen</w:t>
      </w:r>
      <w:r w:rsidR="008354C9">
        <w:rPr>
          <w:rFonts w:cs="Times New Roman"/>
          <w:szCs w:val="20"/>
        </w:rPr>
        <w:t>? af Tressebølle, i hvis Over</w:t>
      </w:r>
      <w:r>
        <w:rPr>
          <w:rFonts w:cs="Times New Roman"/>
          <w:szCs w:val="20"/>
        </w:rPr>
        <w:t>værelse er foretaget og passeret saaledes som følger.</w:t>
      </w:r>
    </w:p>
    <w:p w:rsidR="008354C9" w:rsidRDefault="008354C9" w:rsidP="00D3705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D37052" w:rsidP="00C511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Førend Skiffteforvalteren skred til </w:t>
      </w:r>
      <w:r w:rsidR="008354C9">
        <w:rPr>
          <w:rFonts w:cs="Times New Roman"/>
          <w:szCs w:val="20"/>
        </w:rPr>
        <w:t>Boens Vurdering, fremstoed Enke</w:t>
      </w:r>
      <w:r>
        <w:rPr>
          <w:rFonts w:cs="Times New Roman"/>
          <w:szCs w:val="20"/>
        </w:rPr>
        <w:t>manden og tilkiendegav for SkifteRetten, at da hans Omstændigheder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en ung Begynder, og i et Jordløs-Huus, ikkuns var maadelig, da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i disse Besværlige Tiider allerede havde sine Hænder at ernære sig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ved, og siden hans kones Død har </w:t>
      </w:r>
      <w:r w:rsidR="008354C9">
        <w:rPr>
          <w:rFonts w:cs="Times New Roman"/>
          <w:szCs w:val="20"/>
        </w:rPr>
        <w:t>maattet betale for sit Barns Op</w:t>
      </w:r>
      <w:r>
        <w:rPr>
          <w:rFonts w:cs="Times New Roman"/>
          <w:szCs w:val="20"/>
        </w:rPr>
        <w:t>fødelse iblandt Fremmede, der næsten havde medtaget hvad han kunde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Fortiene, saa Indsaae han ikke, at hans umyndige Barn kunde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tilkomme noget synderlig, med ........ af det skulde opdrages.</w:t>
      </w:r>
    </w:p>
    <w:p w:rsidR="008354C9" w:rsidRDefault="008354C9" w:rsidP="00C511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511C9" w:rsidRDefault="00C511C9" w:rsidP="00C511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Enkemanden som nu agter at indlade </w:t>
      </w:r>
      <w:r w:rsidR="008354C9">
        <w:rPr>
          <w:rFonts w:cs="Times New Roman"/>
          <w:szCs w:val="20"/>
        </w:rPr>
        <w:t>sig i nytt Ægteskab skulde imid</w:t>
      </w:r>
      <w:r>
        <w:rPr>
          <w:rFonts w:cs="Times New Roman"/>
          <w:szCs w:val="20"/>
        </w:rPr>
        <w:t>lertiid have Skifftet og Deelt m</w:t>
      </w:r>
      <w:r w:rsidR="008354C9">
        <w:rPr>
          <w:rFonts w:cs="Times New Roman"/>
          <w:szCs w:val="20"/>
        </w:rPr>
        <w:t>ed sit Barn; men ønskede at und</w:t>
      </w:r>
      <w:r>
        <w:rPr>
          <w:rFonts w:cs="Times New Roman"/>
          <w:szCs w:val="20"/>
        </w:rPr>
        <w:t>gaae Speciel-Vurdering af hans ubetydelige Huusboeskab, da han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aldelis ingen Kreaturer Eier; angav altsaa for SkiffteRetten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ville forunde hans Barn følgende Deele: neml. en nye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Beslage</w:t>
      </w:r>
      <w:r w:rsidR="003E54F5">
        <w:rPr>
          <w:rFonts w:cs="Times New Roman"/>
          <w:szCs w:val="20"/>
        </w:rPr>
        <w:t>n</w:t>
      </w:r>
      <w:r>
        <w:rPr>
          <w:rFonts w:cs="Times New Roman"/>
          <w:szCs w:val="20"/>
        </w:rPr>
        <w:t xml:space="preserve"> Fyhr-Kiiste, - Hans Sl. Kones Gangklæder, 1 Rødstribet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Overdyne og 2 dto Smaae Rødstribede Hovedpuder, samt en Rok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en H..... - Derfor ville han s</w:t>
      </w:r>
      <w:r w:rsidR="008354C9">
        <w:rPr>
          <w:rFonts w:cs="Times New Roman"/>
          <w:szCs w:val="20"/>
        </w:rPr>
        <w:t>elv betale giælden, og udgivter</w:t>
      </w:r>
      <w:r>
        <w:rPr>
          <w:rFonts w:cs="Times New Roman"/>
          <w:szCs w:val="20"/>
        </w:rPr>
        <w:t>ne i anledning dette Skiffte</w:t>
      </w:r>
      <w:r w:rsidR="008354C9">
        <w:rPr>
          <w:rFonts w:cs="Times New Roman"/>
          <w:szCs w:val="20"/>
        </w:rPr>
        <w:t>, og Indstaar derimod at den øv</w:t>
      </w:r>
      <w:r>
        <w:rPr>
          <w:rFonts w:cs="Times New Roman"/>
          <w:szCs w:val="20"/>
        </w:rPr>
        <w:t>rige Deel af hans heele Boe, ikke derimod ville blive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lige værdie til hans part.- ønskede altsaa, at dette hans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Billige Forslag af SkiffteRetten maatte antages.</w:t>
      </w:r>
    </w:p>
    <w:p w:rsidR="008354C9" w:rsidRDefault="008354C9" w:rsidP="00C511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C511C9" w:rsidP="00C511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SkiffteRetten med sine ....havde 2de mænd, undersøgte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dereffter heele Boens Tilstand, og effter paa det nøyeste havde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giennemgaaet alt, fo.... Enkemandens Forslag, i henseende til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hans Barns be....te </w:t>
      </w:r>
      <w:r w:rsidR="008354C9">
        <w:rPr>
          <w:rFonts w:cs="Times New Roman"/>
          <w:szCs w:val="20"/>
        </w:rPr>
        <w:t>og Tiltænkte mødrene Arv i oven</w:t>
      </w:r>
      <w:r>
        <w:rPr>
          <w:rFonts w:cs="Times New Roman"/>
          <w:szCs w:val="20"/>
        </w:rPr>
        <w:t>anførte deele, fuldkommen antagelig, og endog meere, end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hvad den umyndige, ved </w:t>
      </w:r>
      <w:r w:rsidR="008354C9">
        <w:rPr>
          <w:rFonts w:cs="Times New Roman"/>
          <w:szCs w:val="20"/>
        </w:rPr>
        <w:t>ordenlig Vurdering kunde tilkom</w:t>
      </w:r>
      <w:r>
        <w:rPr>
          <w:rFonts w:cs="Times New Roman"/>
          <w:szCs w:val="20"/>
        </w:rPr>
        <w:t xml:space="preserve">me. </w:t>
      </w:r>
      <w:r w:rsidR="008354C9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8354C9" w:rsidRDefault="008354C9" w:rsidP="00C511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C511C9" w:rsidRDefault="00C511C9" w:rsidP="00C511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SkiffteRetten saa altsaa ingen Grund til nogen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Forandring deri; men lod </w:t>
      </w:r>
      <w:r w:rsidR="008354C9">
        <w:rPr>
          <w:rFonts w:cs="Times New Roman"/>
          <w:szCs w:val="20"/>
        </w:rPr>
        <w:t>samme derved have sit Forbliven</w:t>
      </w:r>
      <w:r>
        <w:rPr>
          <w:rFonts w:cs="Times New Roman"/>
          <w:szCs w:val="20"/>
        </w:rPr>
        <w:t>de, og lod til den Ende Boe</w:t>
      </w:r>
      <w:r w:rsidR="008354C9">
        <w:rPr>
          <w:rFonts w:cs="Times New Roman"/>
          <w:szCs w:val="20"/>
        </w:rPr>
        <w:t>ns heele værdie af de 2de Vurde</w:t>
      </w:r>
      <w:r>
        <w:rPr>
          <w:rFonts w:cs="Times New Roman"/>
          <w:szCs w:val="20"/>
        </w:rPr>
        <w:t>ringsmænd anslaaed, og af diss blev ansadt til den Summa 40 R...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udjiør i Dansk-Courant-Sedler= 270rdr.</w:t>
      </w:r>
    </w:p>
    <w:p w:rsidR="008354C9" w:rsidRDefault="008354C9" w:rsidP="00C511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F0053C" w:rsidP="00F0053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blev altsaa dereffter betydet Enkemande</w:t>
      </w:r>
      <w:r w:rsidR="008354C9">
        <w:rPr>
          <w:rFonts w:cs="Times New Roman"/>
          <w:szCs w:val="20"/>
        </w:rPr>
        <w:t>n</w:t>
      </w:r>
      <w:r>
        <w:rPr>
          <w:rFonts w:cs="Times New Roman"/>
          <w:szCs w:val="20"/>
        </w:rPr>
        <w:t>, at hvis han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naar Barnet opnaar sin myndighed, finder som dets værge og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Fader, at det kan være tient med, at modtage in natura af hvad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ovennænvt i Specielle-Deele er hende nu tilstaaet,</w:t>
      </w:r>
      <w:r w:rsidR="008354C9">
        <w:rPr>
          <w:rFonts w:cs="Times New Roman"/>
          <w:szCs w:val="20"/>
        </w:rPr>
        <w:t xml:space="preserve"> deriomd skal ud</w:t>
      </w:r>
      <w:r>
        <w:rPr>
          <w:rFonts w:cs="Times New Roman"/>
          <w:szCs w:val="20"/>
        </w:rPr>
        <w:t>betale hende dets stæd = 20 Rbdl, sige Tive RigsbankDaler Sølv.....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i saa fald, bliver mundtlingen dermed at udbetale i sin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Tiid, imidlertiid bliver hans boe den umyndig prioriteret, indtil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denne den umyndige møderne arv bliver udbetalt; men dog, paa Grund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........ af 31te julj 1790 og 22de Septb. 1792, bliver om Enkemanden vil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anvende til den umyndiges Fornødenheder, uden derfor at stille ...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Sikkerhed derfor ved ovenmeldte og nøyagtig Forklaring paa den udstædte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Skiffte ...., hvorledes samme er bleven ...... Effterrettning i sin Tiidmed hendes myndige Alder. </w:t>
      </w:r>
      <w:r w:rsidR="008354C9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8354C9" w:rsidRDefault="008354C9" w:rsidP="00F0053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F0053C" w:rsidP="00F0053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Enkemanden </w:t>
      </w:r>
      <w:r w:rsidR="008354C9">
        <w:rPr>
          <w:rFonts w:cs="Times New Roman"/>
          <w:szCs w:val="20"/>
        </w:rPr>
        <w:t>g</w:t>
      </w:r>
      <w:r>
        <w:rPr>
          <w:rFonts w:cs="Times New Roman"/>
          <w:szCs w:val="20"/>
        </w:rPr>
        <w:t>av hertil sin Erklæring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det ikke var hans Tanker, at anvende? nogen deel af hans umyndige Barns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nu Tilfaldene mødrende Arv; men derimod ville urørt udbetale samme i sin Tiid, naar hun blev myndig, dog uden Renter deraf at betale; hvorimod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og effter sine Omstændigheder ville Opføde og Opdrage dette sit barn, saa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godt ham mueligt. </w:t>
      </w:r>
      <w:r w:rsidR="008354C9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8354C9" w:rsidRDefault="008354C9" w:rsidP="00F0053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0053C" w:rsidRDefault="00F0053C" w:rsidP="00F0053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nu ikke viidere herved var at</w:t>
      </w:r>
      <w:r w:rsidR="008354C9">
        <w:rPr>
          <w:rFonts w:cs="Times New Roman"/>
          <w:szCs w:val="20"/>
        </w:rPr>
        <w:t xml:space="preserve"> e</w:t>
      </w:r>
      <w:r>
        <w:rPr>
          <w:rFonts w:cs="Times New Roman"/>
          <w:szCs w:val="20"/>
        </w:rPr>
        <w:t>rindre, blev dette Skifftes Omkostninger, og til de Kongel. Casser at</w:t>
      </w:r>
      <w:r w:rsidR="008354C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beregne saaledes: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94"/>
        <w:gridCol w:w="605"/>
        <w:gridCol w:w="850"/>
        <w:gridCol w:w="605"/>
        <w:gridCol w:w="850"/>
        <w:gridCol w:w="605"/>
        <w:gridCol w:w="850"/>
      </w:tblGrid>
      <w:tr w:rsidR="008354C9" w:rsidTr="003D3625">
        <w:tc>
          <w:tcPr>
            <w:tcW w:w="5263" w:type="dxa"/>
            <w:gridSpan w:val="2"/>
          </w:tcPr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1455" w:type="dxa"/>
            <w:gridSpan w:val="2"/>
          </w:tcPr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SkifteRetten </w:t>
            </w:r>
          </w:p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Sportler</w:t>
            </w:r>
          </w:p>
        </w:tc>
        <w:tc>
          <w:tcPr>
            <w:tcW w:w="1455" w:type="dxa"/>
            <w:gridSpan w:val="2"/>
          </w:tcPr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Kongens</w:t>
            </w:r>
          </w:p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Casse</w:t>
            </w:r>
          </w:p>
        </w:tc>
        <w:tc>
          <w:tcPr>
            <w:tcW w:w="1455" w:type="dxa"/>
            <w:gridSpan w:val="2"/>
          </w:tcPr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Justits-</w:t>
            </w:r>
          </w:p>
          <w:p w:rsidR="008354C9" w:rsidRDefault="008354C9" w:rsidP="00F0053C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Fondet</w:t>
            </w: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Rbld</w:t>
            </w: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Skilling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Rbld</w:t>
            </w: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Skilling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Rbld</w:t>
            </w: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Skilling</w:t>
            </w: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1. Til Skiffteforvalteren for Skiffteactens Beskrivelse 2 ark 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Sallarium af Boens Indtægt 40Rbdl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Skifteforvalterens Fuldmægtig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Effter Forordn. 13de Janr 1792 til det Kongel. Revisionscont. 1/3 procto af Boets Indtægt = 40Rbdl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8354C9" w:rsidTr="003D3625">
        <w:tc>
          <w:tcPr>
            <w:tcW w:w="5263" w:type="dxa"/>
            <w:gridSpan w:val="2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 Effter Forordn. 8de Febr. 1810, ½ procto af den umyndiges</w:t>
            </w:r>
          </w:p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mødrene arv= 20Rbdl, beregnes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 1/4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8354C9" w:rsidTr="003D3625">
        <w:tc>
          <w:tcPr>
            <w:tcW w:w="4673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 Stemplet Papiir til Skiffteacten, effter Forord. 25de may 1804 ..... 1 til 27 ......</w:t>
            </w:r>
          </w:p>
        </w:tc>
        <w:tc>
          <w:tcPr>
            <w:tcW w:w="59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27sk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8354C9" w:rsidTr="003D3625">
        <w:tc>
          <w:tcPr>
            <w:tcW w:w="4673" w:type="dxa"/>
          </w:tcPr>
          <w:p w:rsidR="008354C9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Ditto Forhøyelse 50 procto</w:t>
            </w:r>
          </w:p>
        </w:tc>
        <w:tc>
          <w:tcPr>
            <w:tcW w:w="59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13½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40½</w:t>
            </w: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8354C9" w:rsidRDefault="008354C9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3D3625" w:rsidTr="003D3625">
        <w:tc>
          <w:tcPr>
            <w:tcW w:w="4673" w:type="dxa"/>
          </w:tcPr>
          <w:p w:rsidR="003D3625" w:rsidRDefault="003D3625" w:rsidP="003D3625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 Til de 2de Vitterlighedsmænd i det heele hver 4mk 8sk Rigsbank.. : er</w:t>
            </w:r>
          </w:p>
        </w:tc>
        <w:tc>
          <w:tcPr>
            <w:tcW w:w="59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3D3625" w:rsidTr="003D3625">
        <w:tc>
          <w:tcPr>
            <w:tcW w:w="4673" w:type="dxa"/>
          </w:tcPr>
          <w:p w:rsidR="003D3625" w:rsidRDefault="003D3625" w:rsidP="003D3625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Tilsammen</w:t>
            </w:r>
          </w:p>
        </w:tc>
        <w:tc>
          <w:tcPr>
            <w:tcW w:w="59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 3/4</w:t>
            </w: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42 </w:t>
            </w:r>
          </w:p>
        </w:tc>
        <w:tc>
          <w:tcPr>
            <w:tcW w:w="605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850" w:type="dxa"/>
          </w:tcPr>
          <w:p w:rsidR="003D3625" w:rsidRDefault="003D3625" w:rsidP="008354C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</w:t>
            </w:r>
          </w:p>
        </w:tc>
      </w:tr>
    </w:tbl>
    <w:p w:rsidR="008354C9" w:rsidRDefault="008354C9" w:rsidP="00F0053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hvilke udgivter Enkemanden erbød sig at udbetale uden Udgivt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den umyndiges arv.</w:t>
      </w:r>
    </w:p>
    <w:p w:rsidR="003D3625" w:rsidRDefault="003D3625" w:rsidP="008354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D3625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anlovede hernæst at betale all den Giæld som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maatte hæffte paa Boet; og ellers i enhver anden henseende, staae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ansvar for alt hvad, som n</w:t>
      </w:r>
      <w:r w:rsidR="003D3625">
        <w:rPr>
          <w:rFonts w:cs="Times New Roman"/>
          <w:szCs w:val="20"/>
        </w:rPr>
        <w:t>u eller i fremtiiden desangaaen</w:t>
      </w:r>
      <w:r>
        <w:rPr>
          <w:rFonts w:cs="Times New Roman"/>
          <w:szCs w:val="20"/>
        </w:rPr>
        <w:t>de maatte opkomme, og lovede derfo</w:t>
      </w:r>
      <w:r w:rsidR="003D3625">
        <w:rPr>
          <w:rFonts w:cs="Times New Roman"/>
          <w:szCs w:val="20"/>
        </w:rPr>
        <w:t>r, at holde den høye Skifftefor</w:t>
      </w:r>
      <w:r>
        <w:rPr>
          <w:rFonts w:cs="Times New Roman"/>
          <w:szCs w:val="20"/>
        </w:rPr>
        <w:t>valter anger og kravesløs, for alt hva</w:t>
      </w:r>
      <w:r w:rsidR="003D3625">
        <w:rPr>
          <w:rFonts w:cs="Times New Roman"/>
          <w:szCs w:val="20"/>
        </w:rPr>
        <w:t>d af dette Skiffte maatte depen</w:t>
      </w:r>
      <w:r>
        <w:rPr>
          <w:rFonts w:cs="Times New Roman"/>
          <w:szCs w:val="20"/>
        </w:rPr>
        <w:t>dere, saavelsom enhver anden, der maatte have med dette Skiffte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at bestille. </w:t>
      </w:r>
      <w:r w:rsidR="003D3625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3D3625" w:rsidRDefault="003D3625" w:rsidP="008354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Paa grund </w:t>
      </w:r>
      <w:r w:rsidR="003D3625">
        <w:rPr>
          <w:rFonts w:cs="Times New Roman"/>
          <w:szCs w:val="20"/>
        </w:rPr>
        <w:t>af forestaaende, blev Boen Enke</w:t>
      </w:r>
      <w:r>
        <w:rPr>
          <w:rFonts w:cs="Times New Roman"/>
          <w:szCs w:val="20"/>
        </w:rPr>
        <w:t>manden extraderet, os som ingen Indsigelser blev giorte ved dette Skiffte, og Enkemanden ingen viidere Erindringer havde, blev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Skiffte saaledes sluttet og Tilendebragt, Bekræftes med</w:t>
      </w:r>
      <w:r w:rsidR="003D362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enhvers underskrifft. - Datum Emmerbølle ut Supra</w:t>
      </w: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paa egne og den umyndiges vegne          ..... Kastrup</w:t>
      </w: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Christopher C.R.S. Rasmussen</w:t>
      </w: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Overværende Vitterligheds Viidner ved denne Forrettning</w:t>
      </w:r>
    </w:p>
    <w:p w:rsidR="008354C9" w:rsidRDefault="008354C9" w:rsidP="008354C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Niels Nielsen</w:t>
      </w:r>
    </w:p>
    <w:p w:rsidR="00F0053C" w:rsidRDefault="008354C9" w:rsidP="00F0053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Niels Toemesen</w:t>
      </w:r>
    </w:p>
    <w:p w:rsidR="00C511C9" w:rsidRDefault="00C511C9" w:rsidP="00C511C9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37052" w:rsidRDefault="00D37052" w:rsidP="00D3705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37052" w:rsidRDefault="00D37052"/>
    <w:sectPr w:rsidR="00D3705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29" w:rsidRDefault="00CC1B29" w:rsidP="00B41DBB">
      <w:r>
        <w:separator/>
      </w:r>
    </w:p>
  </w:endnote>
  <w:endnote w:type="continuationSeparator" w:id="0">
    <w:p w:rsidR="00CC1B29" w:rsidRDefault="00CC1B29" w:rsidP="00B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713115"/>
      <w:docPartObj>
        <w:docPartGallery w:val="Page Numbers (Bottom of Page)"/>
        <w:docPartUnique/>
      </w:docPartObj>
    </w:sdtPr>
    <w:sdtEndPr/>
    <w:sdtContent>
      <w:p w:rsidR="00B41DBB" w:rsidRDefault="00B41DB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C4">
          <w:rPr>
            <w:noProof/>
          </w:rPr>
          <w:t>2</w:t>
        </w:r>
        <w:r>
          <w:fldChar w:fldCharType="end"/>
        </w:r>
      </w:p>
    </w:sdtContent>
  </w:sdt>
  <w:p w:rsidR="00B41DBB" w:rsidRDefault="00B41D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29" w:rsidRDefault="00CC1B29" w:rsidP="00B41DBB">
      <w:r>
        <w:separator/>
      </w:r>
    </w:p>
  </w:footnote>
  <w:footnote w:type="continuationSeparator" w:id="0">
    <w:p w:rsidR="00CC1B29" w:rsidRDefault="00CC1B29" w:rsidP="00B4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2"/>
    <w:rsid w:val="001C17C4"/>
    <w:rsid w:val="00213781"/>
    <w:rsid w:val="00393DA6"/>
    <w:rsid w:val="003D3625"/>
    <w:rsid w:val="003E54F5"/>
    <w:rsid w:val="00545B72"/>
    <w:rsid w:val="00567B70"/>
    <w:rsid w:val="008354C9"/>
    <w:rsid w:val="00B41DBB"/>
    <w:rsid w:val="00C511C9"/>
    <w:rsid w:val="00CC1B29"/>
    <w:rsid w:val="00D37052"/>
    <w:rsid w:val="00F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D103-093C-4300-AA98-B585358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1D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1DBB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B41D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1DB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858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4</cp:revision>
  <dcterms:created xsi:type="dcterms:W3CDTF">2015-05-10T11:09:00Z</dcterms:created>
  <dcterms:modified xsi:type="dcterms:W3CDTF">2015-05-10T14:21:00Z</dcterms:modified>
</cp:coreProperties>
</file>