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1C" w:rsidRPr="0089141C" w:rsidRDefault="0089141C">
      <w:r w:rsidRPr="0089141C">
        <w:t>143 Hans Hansen skifte 1870</w:t>
      </w:r>
    </w:p>
    <w:p w:rsidR="0089141C" w:rsidRPr="0089141C" w:rsidRDefault="0089141C"/>
    <w:p w:rsidR="00213781" w:rsidRPr="0089141C" w:rsidRDefault="0089141C">
      <w:r w:rsidRPr="0089141C">
        <w:t xml:space="preserve">Skifteprotokol Langeland Herred </w:t>
      </w:r>
      <w:r w:rsidR="0053313F" w:rsidRPr="0089141C">
        <w:t>1865-1872 pagina 76+401 AO billede 77+</w:t>
      </w:r>
      <w:r w:rsidR="00380419" w:rsidRPr="0089141C">
        <w:t>406-407</w:t>
      </w:r>
    </w:p>
    <w:p w:rsidR="00380419" w:rsidRPr="0089141C" w:rsidRDefault="00380419"/>
    <w:p w:rsidR="0053313F" w:rsidRDefault="0053313F">
      <w:r>
        <w:t>1870 den 29 Novbr. anmeldte Julius Hansen at hans Fader Hmd Hans Hansen af Kragholm i dag er død efterladende sig Enke og deels myndige deels umyndige Børn</w:t>
      </w:r>
    </w:p>
    <w:p w:rsidR="0053313F" w:rsidRDefault="0053313F">
      <w:r>
        <w:t>Vognsen</w:t>
      </w:r>
    </w:p>
    <w:p w:rsidR="0089141C" w:rsidRDefault="0089141C"/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Hmd Hans Hansen i Kragholm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1870 den 12 Dechr blev paa Herredscontoiret foretaget Boet efter Huusfæster Hans Hansen af Kragholm i Overværelse af Vidnerne Hansen og Bayer For Afdødes Enke Marie Lisbeth Enocksdatter mødte grmd Peder Larsen af Kragholm efter Fuldmagt og begierede Skifte foretaget.</w:t>
      </w:r>
    </w:p>
    <w:p w:rsidR="00463C2B" w:rsidRDefault="00463C2B" w:rsidP="008914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Arvingerne opgaves at være: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 en Søn Erik Hansen hmd i Fuglsbølle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2 -   -    Frederik Hansen, der har været Hmd i Haugbølle men er død og efterladt sig: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  <w:t>a. en Søn Jens Hansen, 16 Aar gl.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  <w:t>b.  --- - Hans Hansen 13 - -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 - - Christian Hansen Hmd Vesterby M.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4 -  - Julius Hansen Inds. i Kragholm</w:t>
      </w:r>
    </w:p>
    <w:p w:rsidR="00463C2B" w:rsidRDefault="00463C2B" w:rsidP="008914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Disse Arvinger vare mødte med Undtagelse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de Umyndi</w:t>
      </w:r>
      <w:r w:rsidR="00463C2B">
        <w:rPr>
          <w:rFonts w:cs="Times New Roman"/>
          <w:szCs w:val="20"/>
        </w:rPr>
        <w:t>ge for hvem mødte som Værge Far</w:t>
      </w:r>
      <w:r>
        <w:rPr>
          <w:rFonts w:cs="Times New Roman"/>
          <w:szCs w:val="20"/>
        </w:rPr>
        <w:t>broderen fornævnte Erik Hansen. Bemeldte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Erik Hansen erklærede a</w:t>
      </w:r>
      <w:r w:rsidR="00463C2B">
        <w:rPr>
          <w:rFonts w:cs="Times New Roman"/>
          <w:szCs w:val="20"/>
        </w:rPr>
        <w:t>t hand i enhver Henseen</w:t>
      </w:r>
      <w:r>
        <w:rPr>
          <w:rFonts w:cs="Times New Roman"/>
          <w:szCs w:val="20"/>
        </w:rPr>
        <w:t>de renoncerede paa Arv efter Afdøde da han paa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anden Maade er fyldestgjort herfor.</w:t>
      </w:r>
    </w:p>
    <w:p w:rsidR="00463C2B" w:rsidRDefault="00463C2B" w:rsidP="008914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Gaard</w:t>
      </w:r>
      <w:r w:rsidR="00463C2B">
        <w:rPr>
          <w:rFonts w:cs="Times New Roman"/>
          <w:szCs w:val="20"/>
        </w:rPr>
        <w:t>mand Peder Larsen af Kragholm er</w:t>
      </w:r>
      <w:r>
        <w:rPr>
          <w:rFonts w:cs="Times New Roman"/>
          <w:szCs w:val="20"/>
        </w:rPr>
        <w:t>klærede dernæst paa Enkens Vegne at dennes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Eiendele alene bestaar af Løsøre hvilke han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ansatte til en Værdi af ialt 212 Rdr Derimod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hviler der paa Boet en Gjæld af 30 Rdr</w:t>
      </w:r>
      <w:r w:rsidR="00463C2B">
        <w:rPr>
          <w:rFonts w:cs="Times New Roman"/>
          <w:szCs w:val="20"/>
        </w:rPr>
        <w:t xml:space="preserve"> hvilken </w:t>
      </w:r>
      <w:r>
        <w:rPr>
          <w:rFonts w:cs="Times New Roman"/>
          <w:szCs w:val="20"/>
        </w:rPr>
        <w:t>han paastod Enken forlods udlagt.</w:t>
      </w:r>
    </w:p>
    <w:p w:rsidR="00463C2B" w:rsidRDefault="00463C2B" w:rsidP="008914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 myndige Arvinger saavelsom Værgen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 de Umyndige erklærede at være nøie kjendte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Boet og dets Status og formeente de ikke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den paa samme satte Værdi kunde ansættes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høiere, ligesom de ei heller havde noget mod den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angivne Gjæld at erindre.</w:t>
      </w:r>
    </w:p>
    <w:p w:rsidR="00463C2B" w:rsidRDefault="00463C2B" w:rsidP="008914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Paa Grund </w:t>
      </w:r>
      <w:r w:rsidR="00463C2B">
        <w:rPr>
          <w:rFonts w:cs="Times New Roman"/>
          <w:szCs w:val="20"/>
        </w:rPr>
        <w:t>af denne Erklæring fandt Skifte</w:t>
      </w:r>
      <w:r>
        <w:rPr>
          <w:rFonts w:cs="Times New Roman"/>
          <w:szCs w:val="20"/>
        </w:rPr>
        <w:t>forvalteren eiheller Anledning til at drage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Angivelserne i Tvivl, hvornæst Boet Opgjordes</w:t>
      </w:r>
      <w:r w:rsidR="00463C2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saalede</w:t>
      </w:r>
      <w:r w:rsidR="00463C2B">
        <w:rPr>
          <w:rFonts w:cs="Times New Roman"/>
          <w:szCs w:val="20"/>
        </w:rPr>
        <w:t>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3"/>
        <w:gridCol w:w="572"/>
        <w:gridCol w:w="602"/>
        <w:gridCol w:w="716"/>
        <w:gridCol w:w="472"/>
        <w:gridCol w:w="566"/>
        <w:gridCol w:w="516"/>
        <w:gridCol w:w="472"/>
        <w:gridCol w:w="416"/>
      </w:tblGrid>
      <w:tr w:rsidR="00463C2B" w:rsidRPr="00710990" w:rsidTr="00C77366">
        <w:tc>
          <w:tcPr>
            <w:tcW w:w="8224" w:type="dxa"/>
            <w:gridSpan w:val="7"/>
            <w:shd w:val="clear" w:color="auto" w:fill="auto"/>
          </w:tcPr>
          <w:p w:rsidR="00463C2B" w:rsidRP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Indtægt</w:t>
            </w:r>
            <w:bookmarkStart w:id="0" w:name="_GoBack"/>
            <w:bookmarkEnd w:id="0"/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Rdr</w:t>
            </w: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463C2B" w:rsidRPr="00710990" w:rsidTr="00C77366">
        <w:tc>
          <w:tcPr>
            <w:tcW w:w="8224" w:type="dxa"/>
            <w:gridSpan w:val="7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Den paa Boet satte Værdi</w:t>
            </w: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8224" w:type="dxa"/>
            <w:gridSpan w:val="7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Udgift</w:t>
            </w: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Den angivne Gjæld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30Rdr</w:t>
            </w: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mk</w:t>
            </w: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</w:t>
            </w: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Dette Skiftes Omkostninger: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a. Sallair til Skifteforvalter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2rd</w:t>
            </w: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3mk</w:t>
            </w: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</w:t>
            </w: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b. Beskrivelse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 Bekræftelse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 20%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e. 1/3 % til Statskassen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 20% deraf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g. Vidnerne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463C2B" w:rsidRDefault="00463C2B" w:rsidP="00463C2B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1754" w:type="dxa"/>
            <w:gridSpan w:val="3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Behold</w:t>
            </w: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174</w:t>
            </w: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heraf tager Enken det halve med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1754" w:type="dxa"/>
            <w:gridSpan w:val="3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og af Resten</w:t>
            </w: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beregnes Stempel med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1754" w:type="dxa"/>
            <w:gridSpan w:val="3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Til Deling</w:t>
            </w: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der udlægges: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Enken med en Barnslod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BA1C11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</w:t>
            </w:r>
          </w:p>
        </w:tc>
        <w:tc>
          <w:tcPr>
            <w:tcW w:w="472" w:type="dxa"/>
            <w:shd w:val="clear" w:color="auto" w:fill="auto"/>
          </w:tcPr>
          <w:p w:rsidR="00463C2B" w:rsidRDefault="00BA1C11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463C2B" w:rsidRDefault="00BA1C11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14½</w:t>
            </w: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 Sønnen Frederik Hansen , der er død og efterladt sig</w:t>
            </w:r>
          </w:p>
        </w:tc>
        <w:tc>
          <w:tcPr>
            <w:tcW w:w="483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463C2B" w:rsidRPr="00710990" w:rsidTr="00C77366">
        <w:tc>
          <w:tcPr>
            <w:tcW w:w="4813" w:type="dxa"/>
            <w:shd w:val="clear" w:color="auto" w:fill="auto"/>
          </w:tcPr>
          <w:p w:rsidR="00463C2B" w:rsidRDefault="00463C2B" w:rsidP="00463C2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a. en Søn Jens Hansen 16 Aar</w:t>
            </w:r>
          </w:p>
        </w:tc>
        <w:tc>
          <w:tcPr>
            <w:tcW w:w="483" w:type="dxa"/>
            <w:shd w:val="clear" w:color="auto" w:fill="auto"/>
          </w:tcPr>
          <w:p w:rsidR="00463C2B" w:rsidRDefault="00BA1C11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463C2B" w:rsidRDefault="00BA1C11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:rsidR="00463C2B" w:rsidRDefault="00BA1C11" w:rsidP="00083D3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  <w:r w:rsidRPr="00BA1C11">
              <w:rPr>
                <w:rFonts w:cs="Times New Roman"/>
                <w:szCs w:val="20"/>
                <w:vertAlign w:val="superscript"/>
              </w:rPr>
              <w:t>1</w:t>
            </w:r>
            <w:r>
              <w:rPr>
                <w:rFonts w:cs="Times New Roman"/>
                <w:szCs w:val="20"/>
              </w:rPr>
              <w:t>/</w:t>
            </w:r>
            <w:r w:rsidRPr="00BA1C11">
              <w:rPr>
                <w:rFonts w:cs="Times New Roman"/>
                <w:szCs w:val="20"/>
                <w:vertAlign w:val="subscript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63C2B" w:rsidRDefault="00463C2B" w:rsidP="00083D3F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63C2B" w:rsidRPr="00710990" w:rsidRDefault="00463C2B" w:rsidP="00083D3F">
            <w:pPr>
              <w:rPr>
                <w:szCs w:val="20"/>
              </w:rPr>
            </w:pPr>
          </w:p>
        </w:tc>
      </w:tr>
      <w:tr w:rsidR="00BA1C11" w:rsidRPr="00710990" w:rsidTr="00C77366">
        <w:tc>
          <w:tcPr>
            <w:tcW w:w="4813" w:type="dxa"/>
            <w:shd w:val="clear" w:color="auto" w:fill="auto"/>
          </w:tcPr>
          <w:p w:rsidR="00BA1C11" w:rsidRDefault="00BA1C11" w:rsidP="00BA1C1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 -    -     Hans Hansen 13</w:t>
            </w:r>
          </w:p>
        </w:tc>
        <w:tc>
          <w:tcPr>
            <w:tcW w:w="483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  <w:r w:rsidRPr="00BA1C11">
              <w:rPr>
                <w:rFonts w:cs="Times New Roman"/>
                <w:szCs w:val="20"/>
                <w:vertAlign w:val="superscript"/>
              </w:rPr>
              <w:t>1</w:t>
            </w:r>
            <w:r>
              <w:rPr>
                <w:rFonts w:cs="Times New Roman"/>
                <w:szCs w:val="20"/>
              </w:rPr>
              <w:t>/</w:t>
            </w:r>
            <w:r w:rsidRPr="00BA1C11">
              <w:rPr>
                <w:rFonts w:cs="Times New Roman"/>
                <w:szCs w:val="20"/>
                <w:vertAlign w:val="subscript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</w:t>
            </w:r>
          </w:p>
        </w:tc>
        <w:tc>
          <w:tcPr>
            <w:tcW w:w="47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14½</w:t>
            </w:r>
          </w:p>
        </w:tc>
        <w:tc>
          <w:tcPr>
            <w:tcW w:w="516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</w:p>
        </w:tc>
      </w:tr>
      <w:tr w:rsidR="00BA1C11" w:rsidRPr="00710990" w:rsidTr="00C77366">
        <w:tc>
          <w:tcPr>
            <w:tcW w:w="4813" w:type="dxa"/>
            <w:shd w:val="clear" w:color="auto" w:fill="auto"/>
          </w:tcPr>
          <w:p w:rsidR="00BA1C11" w:rsidRDefault="00BA1C11" w:rsidP="00BA1C1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3 - Christian Hansen, Hmd i Vesterby</w:t>
            </w:r>
          </w:p>
        </w:tc>
        <w:tc>
          <w:tcPr>
            <w:tcW w:w="483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</w:t>
            </w:r>
          </w:p>
        </w:tc>
        <w:tc>
          <w:tcPr>
            <w:tcW w:w="47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14½</w:t>
            </w:r>
          </w:p>
        </w:tc>
        <w:tc>
          <w:tcPr>
            <w:tcW w:w="516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</w:p>
        </w:tc>
      </w:tr>
      <w:tr w:rsidR="00BA1C11" w:rsidRPr="00710990" w:rsidTr="00C77366">
        <w:tc>
          <w:tcPr>
            <w:tcW w:w="4813" w:type="dxa"/>
            <w:shd w:val="clear" w:color="auto" w:fill="auto"/>
          </w:tcPr>
          <w:p w:rsidR="00BA1C11" w:rsidRDefault="00BA1C11" w:rsidP="00BA1C1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4. - Julius Hansen, Inds. Kragholm</w:t>
            </w:r>
          </w:p>
        </w:tc>
        <w:tc>
          <w:tcPr>
            <w:tcW w:w="483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</w:t>
            </w:r>
          </w:p>
        </w:tc>
        <w:tc>
          <w:tcPr>
            <w:tcW w:w="47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14½</w:t>
            </w:r>
          </w:p>
        </w:tc>
        <w:tc>
          <w:tcPr>
            <w:tcW w:w="516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</w:p>
        </w:tc>
      </w:tr>
      <w:tr w:rsidR="00BA1C11" w:rsidRPr="00710990" w:rsidTr="00C77366">
        <w:tc>
          <w:tcPr>
            <w:tcW w:w="4813" w:type="dxa"/>
            <w:shd w:val="clear" w:color="auto" w:fill="auto"/>
          </w:tcPr>
          <w:p w:rsidR="00BA1C11" w:rsidRDefault="00BA1C11" w:rsidP="00BA1C11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A1C11" w:rsidRDefault="00BA1C11" w:rsidP="00BA1C11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472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A1C11" w:rsidRPr="00710990" w:rsidRDefault="00BA1C11" w:rsidP="00BA1C11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</w:tbl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Arvingen Julius Hansen erklærede at ville</w:t>
      </w:r>
      <w:r w:rsidR="00BA1C1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lade sin Arv indestaa i Boet hos Moderen.</w:t>
      </w:r>
      <w:r w:rsidR="00BA1C1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Derimod blev strax udbetalt De Umyndiges og</w:t>
      </w:r>
      <w:r w:rsidR="00BA1C1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Christians </w:t>
      </w:r>
      <w:r w:rsidR="00BA1C11">
        <w:rPr>
          <w:rFonts w:cs="Times New Roman"/>
          <w:szCs w:val="20"/>
        </w:rPr>
        <w:t>Arv. De  Umyndiges blive at ind</w:t>
      </w:r>
      <w:r>
        <w:rPr>
          <w:rFonts w:cs="Times New Roman"/>
          <w:szCs w:val="20"/>
        </w:rPr>
        <w:t>sætte i SpareKassen under Værgens Ansvar.</w:t>
      </w:r>
    </w:p>
    <w:p w:rsidR="00BA1C11" w:rsidRDefault="00BA1C11" w:rsidP="008914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Skiftet sluttet og bekræftet med Underskrifte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Wognsen     Julius Hansen    Erik Hansen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.. L. Andersen         Christian Hansen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Vidner</w:t>
      </w:r>
    </w:p>
    <w:p w:rsidR="0089141C" w:rsidRDefault="0089141C" w:rsidP="008914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Hansen    Bayer</w:t>
      </w:r>
    </w:p>
    <w:p w:rsidR="0053313F" w:rsidRDefault="0053313F"/>
    <w:sectPr w:rsidR="005331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3F"/>
    <w:rsid w:val="00146B16"/>
    <w:rsid w:val="00213781"/>
    <w:rsid w:val="00235BCA"/>
    <w:rsid w:val="00305CDE"/>
    <w:rsid w:val="00380419"/>
    <w:rsid w:val="00393DA6"/>
    <w:rsid w:val="00463C2B"/>
    <w:rsid w:val="0053313F"/>
    <w:rsid w:val="00567B70"/>
    <w:rsid w:val="00835FF9"/>
    <w:rsid w:val="0089141C"/>
    <w:rsid w:val="00BA1C11"/>
    <w:rsid w:val="00C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0E49-CA45-42F4-A017-3F9296D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3</cp:revision>
  <dcterms:created xsi:type="dcterms:W3CDTF">2015-04-28T14:47:00Z</dcterms:created>
  <dcterms:modified xsi:type="dcterms:W3CDTF">2015-04-28T20:21:00Z</dcterms:modified>
</cp:coreProperties>
</file>